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93" w:rsidRPr="00390EC5" w:rsidRDefault="007F6093" w:rsidP="007F6093">
      <w:pPr>
        <w:jc w:val="left"/>
        <w:rPr>
          <w:rFonts w:ascii="方正黑体_GBK" w:eastAsia="方正黑体_GBK"/>
          <w:sz w:val="32"/>
          <w:szCs w:val="32"/>
        </w:rPr>
      </w:pPr>
      <w:r w:rsidRPr="00390EC5">
        <w:rPr>
          <w:rFonts w:ascii="方正黑体_GBK" w:eastAsia="方正黑体_GBK" w:hint="eastAsia"/>
          <w:sz w:val="32"/>
          <w:szCs w:val="32"/>
        </w:rPr>
        <w:t>附件：</w:t>
      </w:r>
    </w:p>
    <w:p w:rsidR="007F6093" w:rsidRPr="004B03F7" w:rsidRDefault="007F6093" w:rsidP="007F6093">
      <w:pPr>
        <w:jc w:val="center"/>
        <w:rPr>
          <w:rFonts w:ascii="方正小标宋_GBK" w:eastAsia="方正小标宋_GBK"/>
          <w:sz w:val="36"/>
          <w:szCs w:val="36"/>
        </w:rPr>
      </w:pPr>
      <w:r w:rsidRPr="004B03F7">
        <w:rPr>
          <w:rFonts w:ascii="方正小标宋_GBK" w:eastAsia="方正小标宋_GBK" w:hint="eastAsia"/>
          <w:sz w:val="36"/>
          <w:szCs w:val="36"/>
        </w:rPr>
        <w:t>中国社会科学院研究生院2015级</w:t>
      </w:r>
    </w:p>
    <w:p w:rsidR="007F6093" w:rsidRPr="004B03F7" w:rsidRDefault="007F6093" w:rsidP="007F6093">
      <w:pPr>
        <w:jc w:val="center"/>
        <w:rPr>
          <w:rFonts w:ascii="方正小标宋_GBK" w:eastAsia="方正小标宋_GBK"/>
          <w:sz w:val="36"/>
          <w:szCs w:val="36"/>
        </w:rPr>
      </w:pPr>
      <w:r w:rsidRPr="004B03F7">
        <w:rPr>
          <w:rFonts w:ascii="方正小标宋_GBK" w:eastAsia="方正小标宋_GBK" w:hint="eastAsia"/>
          <w:sz w:val="36"/>
          <w:szCs w:val="36"/>
        </w:rPr>
        <w:t>在职公共管理硕士（MPA）招生简章</w:t>
      </w:r>
    </w:p>
    <w:p w:rsidR="007F6093" w:rsidRDefault="007F6093" w:rsidP="007F6093">
      <w:pPr>
        <w:ind w:firstLineChars="200" w:firstLine="600"/>
        <w:rPr>
          <w:rFonts w:ascii="仿宋_GB2312" w:eastAsia="仿宋_GB2312"/>
          <w:sz w:val="30"/>
          <w:szCs w:val="30"/>
        </w:rPr>
      </w:pPr>
    </w:p>
    <w:p w:rsidR="007F6093"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为深入贯彻第五次全国地方志工作会议精神，加强干部队伍建设，培养优秀的地方志管理人才，中国地方志指导小组办公室、中国社会科学院研究生院联合举办2015级在职公共管理硕士（MPA）学位班</w:t>
      </w:r>
      <w:r>
        <w:rPr>
          <w:rFonts w:ascii="仿宋_GB2312" w:eastAsia="仿宋_GB2312" w:hint="eastAsia"/>
          <w:sz w:val="30"/>
          <w:szCs w:val="30"/>
        </w:rPr>
        <w:t>（地方志管理）</w:t>
      </w:r>
      <w:r w:rsidRPr="009B009A">
        <w:rPr>
          <w:rFonts w:ascii="仿宋_GB2312" w:eastAsia="仿宋_GB2312" w:hint="eastAsia"/>
          <w:sz w:val="30"/>
          <w:szCs w:val="30"/>
        </w:rPr>
        <w:t>。</w:t>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一、培养目标</w:t>
      </w:r>
    </w:p>
    <w:p w:rsidR="007F6093" w:rsidRPr="009B009A" w:rsidRDefault="007F6093" w:rsidP="007F6093">
      <w:pPr>
        <w:ind w:firstLineChars="200" w:firstLine="600"/>
        <w:rPr>
          <w:rFonts w:ascii="仿宋_GB2312" w:eastAsia="仿宋_GB2312"/>
          <w:sz w:val="30"/>
          <w:szCs w:val="30"/>
        </w:rPr>
      </w:pPr>
      <w:r>
        <w:rPr>
          <w:rFonts w:ascii="仿宋_GB2312" w:eastAsia="仿宋_GB2312" w:hint="eastAsia"/>
          <w:sz w:val="30"/>
          <w:szCs w:val="30"/>
        </w:rPr>
        <w:t>通过学位班的举办，</w:t>
      </w:r>
      <w:r w:rsidRPr="009B009A">
        <w:rPr>
          <w:rFonts w:ascii="仿宋_GB2312" w:eastAsia="仿宋_GB2312" w:hint="eastAsia"/>
          <w:sz w:val="30"/>
          <w:szCs w:val="30"/>
        </w:rPr>
        <w:t>培养和造就一批政治坚定，适应</w:t>
      </w:r>
      <w:r>
        <w:rPr>
          <w:rFonts w:ascii="仿宋_GB2312" w:eastAsia="仿宋_GB2312" w:hint="eastAsia"/>
          <w:sz w:val="30"/>
          <w:szCs w:val="30"/>
        </w:rPr>
        <w:t>全国</w:t>
      </w:r>
      <w:r w:rsidRPr="009B009A">
        <w:rPr>
          <w:rFonts w:ascii="仿宋_GB2312" w:eastAsia="仿宋_GB2312" w:hint="eastAsia"/>
          <w:sz w:val="30"/>
          <w:szCs w:val="30"/>
        </w:rPr>
        <w:t>地方志事业发展</w:t>
      </w:r>
      <w:r>
        <w:rPr>
          <w:rFonts w:ascii="仿宋_GB2312" w:eastAsia="仿宋_GB2312" w:hint="eastAsia"/>
          <w:sz w:val="30"/>
          <w:szCs w:val="30"/>
        </w:rPr>
        <w:t>需要</w:t>
      </w:r>
      <w:r w:rsidRPr="009B009A">
        <w:rPr>
          <w:rFonts w:ascii="仿宋_GB2312" w:eastAsia="仿宋_GB2312" w:hint="eastAsia"/>
          <w:sz w:val="30"/>
          <w:szCs w:val="30"/>
        </w:rPr>
        <w:t>，具备</w:t>
      </w:r>
      <w:r>
        <w:rPr>
          <w:rFonts w:ascii="仿宋_GB2312" w:eastAsia="仿宋_GB2312" w:hint="eastAsia"/>
          <w:sz w:val="30"/>
          <w:szCs w:val="30"/>
        </w:rPr>
        <w:t>较高的</w:t>
      </w:r>
      <w:r w:rsidRPr="009B009A">
        <w:rPr>
          <w:rFonts w:ascii="仿宋_GB2312" w:eastAsia="仿宋_GB2312" w:hint="eastAsia"/>
          <w:sz w:val="30"/>
          <w:szCs w:val="30"/>
        </w:rPr>
        <w:t>现代公共管理专业素质的地方志管理人才。</w:t>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二、招生对象</w:t>
      </w:r>
    </w:p>
    <w:p w:rsidR="007F6093" w:rsidRPr="009B009A" w:rsidRDefault="007F6093" w:rsidP="007F6093">
      <w:pPr>
        <w:ind w:firstLineChars="200" w:firstLine="600"/>
        <w:rPr>
          <w:rFonts w:ascii="仿宋_GB2312" w:eastAsia="仿宋_GB2312"/>
          <w:sz w:val="30"/>
          <w:szCs w:val="30"/>
        </w:rPr>
      </w:pPr>
      <w:r>
        <w:rPr>
          <w:rFonts w:ascii="仿宋_GB2312" w:eastAsia="仿宋_GB2312" w:hint="eastAsia"/>
          <w:sz w:val="30"/>
          <w:szCs w:val="30"/>
        </w:rPr>
        <w:t>各级</w:t>
      </w:r>
      <w:r w:rsidRPr="009B009A">
        <w:rPr>
          <w:rFonts w:ascii="仿宋_GB2312" w:eastAsia="仿宋_GB2312" w:hint="eastAsia"/>
          <w:sz w:val="30"/>
          <w:szCs w:val="30"/>
        </w:rPr>
        <w:t>地方志工作机构具有2012年7月31日前国民教育序列大学本科学历（有学士学位），</w:t>
      </w:r>
      <w:r>
        <w:rPr>
          <w:rFonts w:ascii="仿宋_GB2312" w:eastAsia="仿宋_GB2312" w:hint="eastAsia"/>
          <w:sz w:val="30"/>
          <w:szCs w:val="30"/>
        </w:rPr>
        <w:t>政治立场坚定，</w:t>
      </w:r>
      <w:r w:rsidRPr="009B009A">
        <w:rPr>
          <w:rFonts w:ascii="仿宋_GB2312" w:eastAsia="仿宋_GB2312" w:hint="eastAsia"/>
          <w:sz w:val="30"/>
          <w:szCs w:val="30"/>
        </w:rPr>
        <w:t>工作业绩突出，爱岗敬业，廉洁勤政, 身体健康，是本单位业务骨干或重点培养的年轻干部。</w:t>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三、推荐报名和资格审查</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（一）根据中央党的群众路线教育实践活动领导小组、中共中央组织部、教育部联合印发</w:t>
      </w:r>
      <w:r>
        <w:rPr>
          <w:rFonts w:ascii="仿宋_GB2312" w:eastAsia="仿宋_GB2312" w:hint="eastAsia"/>
          <w:sz w:val="30"/>
          <w:szCs w:val="30"/>
        </w:rPr>
        <w:t>的</w:t>
      </w:r>
      <w:r w:rsidRPr="009B009A">
        <w:rPr>
          <w:rFonts w:ascii="仿宋_GB2312" w:eastAsia="仿宋_GB2312" w:hint="eastAsia"/>
          <w:sz w:val="30"/>
          <w:szCs w:val="30"/>
        </w:rPr>
        <w:t>《关于严格规范领导干部参加社会化培训有关事宜的通知》（</w:t>
      </w:r>
      <w:proofErr w:type="gramStart"/>
      <w:r w:rsidRPr="009B009A">
        <w:rPr>
          <w:rFonts w:ascii="仿宋_GB2312" w:eastAsia="仿宋_GB2312" w:hint="eastAsia"/>
          <w:sz w:val="30"/>
          <w:szCs w:val="30"/>
        </w:rPr>
        <w:t>中组发〔2014〕</w:t>
      </w:r>
      <w:proofErr w:type="gramEnd"/>
      <w:r w:rsidRPr="009B009A">
        <w:rPr>
          <w:rFonts w:ascii="仿宋_GB2312" w:eastAsia="仿宋_GB2312" w:hint="eastAsia"/>
          <w:sz w:val="30"/>
          <w:szCs w:val="30"/>
        </w:rPr>
        <w:t>18号），考生须按</w:t>
      </w:r>
      <w:r w:rsidRPr="009B009A">
        <w:rPr>
          <w:rFonts w:ascii="仿宋_GB2312" w:eastAsia="仿宋_GB2312" w:hint="eastAsia"/>
          <w:sz w:val="30"/>
          <w:szCs w:val="30"/>
        </w:rPr>
        <w:lastRenderedPageBreak/>
        <w:t>干部管理权限向组织人事部门报告</w:t>
      </w:r>
      <w:r>
        <w:rPr>
          <w:rFonts w:ascii="仿宋_GB2312" w:eastAsia="仿宋_GB2312" w:hint="eastAsia"/>
          <w:sz w:val="30"/>
          <w:szCs w:val="30"/>
        </w:rPr>
        <w:t>后</w:t>
      </w:r>
      <w:r w:rsidRPr="009B009A">
        <w:rPr>
          <w:rFonts w:ascii="仿宋_GB2312" w:eastAsia="仿宋_GB2312" w:hint="eastAsia"/>
          <w:sz w:val="30"/>
          <w:szCs w:val="30"/>
        </w:rPr>
        <w:t>，</w:t>
      </w:r>
      <w:r>
        <w:rPr>
          <w:rFonts w:ascii="仿宋_GB2312" w:eastAsia="仿宋_GB2312" w:hint="eastAsia"/>
          <w:sz w:val="30"/>
          <w:szCs w:val="30"/>
        </w:rPr>
        <w:t>由本单位出具推荐证明，连同</w:t>
      </w:r>
      <w:r w:rsidRPr="009B009A">
        <w:rPr>
          <w:rFonts w:ascii="仿宋_GB2312" w:eastAsia="仿宋_GB2312" w:hint="eastAsia"/>
          <w:sz w:val="30"/>
          <w:szCs w:val="30"/>
        </w:rPr>
        <w:t>本人身份证、学历、学位证书复印件报省级地方志工作机构、全军军事志指导小组办公室、武警部队编史办。经审核确定报考人选后，</w:t>
      </w:r>
      <w:r>
        <w:rPr>
          <w:rFonts w:ascii="仿宋_GB2312" w:eastAsia="仿宋_GB2312" w:hint="eastAsia"/>
          <w:sz w:val="30"/>
          <w:szCs w:val="30"/>
        </w:rPr>
        <w:t>由</w:t>
      </w:r>
      <w:r w:rsidRPr="009B009A">
        <w:rPr>
          <w:rFonts w:ascii="仿宋_GB2312" w:eastAsia="仿宋_GB2312" w:hint="eastAsia"/>
          <w:sz w:val="30"/>
          <w:szCs w:val="30"/>
        </w:rPr>
        <w:t>省级地方志工作机构、全军军事志指导小组办公室、武警部队编史办</w:t>
      </w:r>
      <w:r>
        <w:rPr>
          <w:rFonts w:ascii="仿宋_GB2312" w:eastAsia="仿宋_GB2312" w:hint="eastAsia"/>
          <w:sz w:val="30"/>
          <w:szCs w:val="30"/>
        </w:rPr>
        <w:t>汇总填写《统一推荐名单及资格证明表》，加盖公章后</w:t>
      </w:r>
      <w:r w:rsidRPr="009B009A">
        <w:rPr>
          <w:rFonts w:ascii="仿宋_GB2312" w:eastAsia="仿宋_GB2312" w:hint="eastAsia"/>
          <w:sz w:val="30"/>
          <w:szCs w:val="30"/>
        </w:rPr>
        <w:t>于 6月5日前上报至中国地方志指导小组办公室</w:t>
      </w:r>
      <w:r>
        <w:rPr>
          <w:rFonts w:ascii="仿宋_GB2312" w:eastAsia="仿宋_GB2312" w:hint="eastAsia"/>
          <w:sz w:val="30"/>
          <w:szCs w:val="30"/>
        </w:rPr>
        <w:t>。</w:t>
      </w:r>
      <w:r w:rsidRPr="009B009A">
        <w:rPr>
          <w:rFonts w:ascii="仿宋_GB2312" w:eastAsia="仿宋_GB2312" w:hint="eastAsia"/>
          <w:sz w:val="30"/>
          <w:szCs w:val="30"/>
        </w:rPr>
        <w:t>经中国地方志指导小组办公室与中国社会科学院研究生院审核同意后，6月20日前通知</w:t>
      </w:r>
      <w:r>
        <w:rPr>
          <w:rFonts w:ascii="仿宋_GB2312" w:eastAsia="仿宋_GB2312" w:hint="eastAsia"/>
          <w:sz w:val="30"/>
          <w:szCs w:val="30"/>
        </w:rPr>
        <w:t>入选</w:t>
      </w:r>
      <w:r w:rsidRPr="009B009A">
        <w:rPr>
          <w:rFonts w:ascii="仿宋_GB2312" w:eastAsia="仿宋_GB2312" w:hint="eastAsia"/>
          <w:sz w:val="30"/>
          <w:szCs w:val="30"/>
        </w:rPr>
        <w:t>报考考生。</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二）考生接到通知后请于6月底登录中国学位与研究生教育信息网（网址为：http://www.chinadegrees.cn/）“在职攻读硕士学位全国联考统一网上报名系统”，填写、提交考试报名信息并上传本人近期电子照片；并在7月中旬到各省级学位与研究生教育主管部门指定的现场确认点（网上报名成功得到的具体地点信息提示）</w:t>
      </w:r>
      <w:r>
        <w:rPr>
          <w:rFonts w:ascii="仿宋_GB2312" w:eastAsia="仿宋_GB2312" w:hint="eastAsia"/>
          <w:sz w:val="30"/>
          <w:szCs w:val="30"/>
        </w:rPr>
        <w:t>验证、</w:t>
      </w:r>
      <w:r w:rsidRPr="009B009A">
        <w:rPr>
          <w:rFonts w:ascii="仿宋_GB2312" w:eastAsia="仿宋_GB2312" w:hint="eastAsia"/>
          <w:sz w:val="30"/>
          <w:szCs w:val="30"/>
        </w:rPr>
        <w:t>缴纳考试报名费</w:t>
      </w:r>
      <w:r>
        <w:rPr>
          <w:rFonts w:ascii="仿宋_GB2312" w:eastAsia="仿宋_GB2312" w:hint="eastAsia"/>
          <w:sz w:val="30"/>
          <w:szCs w:val="30"/>
        </w:rPr>
        <w:t>、</w:t>
      </w:r>
      <w:r w:rsidRPr="009B009A">
        <w:rPr>
          <w:rFonts w:ascii="仿宋_GB2312" w:eastAsia="仿宋_GB2312" w:hint="eastAsia"/>
          <w:sz w:val="30"/>
          <w:szCs w:val="30"/>
        </w:rPr>
        <w:t>签字确认考试报名信息</w:t>
      </w:r>
      <w:r>
        <w:rPr>
          <w:rFonts w:ascii="仿宋_GB2312" w:eastAsia="仿宋_GB2312" w:hint="eastAsia"/>
          <w:sz w:val="30"/>
          <w:szCs w:val="30"/>
        </w:rPr>
        <w:t>等</w:t>
      </w:r>
      <w:r w:rsidRPr="009B009A">
        <w:rPr>
          <w:rFonts w:ascii="仿宋_GB2312" w:eastAsia="仿宋_GB2312" w:hint="eastAsia"/>
          <w:sz w:val="30"/>
          <w:szCs w:val="30"/>
        </w:rPr>
        <w:t>。（具体时间届时详见</w:t>
      </w:r>
      <w:r>
        <w:rPr>
          <w:rFonts w:ascii="仿宋_GB2312" w:eastAsia="仿宋_GB2312" w:hint="eastAsia"/>
          <w:sz w:val="30"/>
          <w:szCs w:val="30"/>
        </w:rPr>
        <w:t>中国社会科学院</w:t>
      </w:r>
      <w:r w:rsidRPr="009B009A">
        <w:rPr>
          <w:rFonts w:ascii="仿宋_GB2312" w:eastAsia="仿宋_GB2312" w:hint="eastAsia"/>
          <w:sz w:val="30"/>
          <w:szCs w:val="30"/>
        </w:rPr>
        <w:t>研究生院MPA教育中心网站）。</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考生可在北京报名，在北京参加考试；也可在当地报名，在当地参加考试；报名和考试均为全国统一组织，逾期不予办理。</w:t>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四、考试方式、时间和科目</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考试方式分为初试和复试两部分。</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初试为全国联考，时间为2015年10月底，具体时间详见6月份中国社会科学院研究生院MPA教育中心网站通知。考试科目</w:t>
      </w:r>
      <w:r w:rsidRPr="009B009A">
        <w:rPr>
          <w:rFonts w:ascii="仿宋_GB2312" w:eastAsia="仿宋_GB2312" w:hint="eastAsia"/>
          <w:sz w:val="30"/>
          <w:szCs w:val="30"/>
        </w:rPr>
        <w:lastRenderedPageBreak/>
        <w:t>为英语和公共管理综合能力测试，其中英语100分、公共管理综合能力测试200分，共计300分。联考考试</w:t>
      </w:r>
      <w:r w:rsidRPr="00EA6BBB">
        <w:rPr>
          <w:rFonts w:ascii="仿宋_GB2312" w:eastAsia="仿宋_GB2312" w:hint="eastAsia"/>
          <w:sz w:val="30"/>
          <w:szCs w:val="30"/>
        </w:rPr>
        <w:t>参考资料</w:t>
      </w:r>
      <w:r w:rsidRPr="009B009A">
        <w:rPr>
          <w:rFonts w:ascii="仿宋_GB2312" w:eastAsia="仿宋_GB2312" w:hint="eastAsia"/>
          <w:sz w:val="30"/>
          <w:szCs w:val="30"/>
        </w:rPr>
        <w:t>为：《在职攻读硕士学位全国联考英语考试综合辅导》（中国人民大学出版社）</w:t>
      </w:r>
      <w:r>
        <w:rPr>
          <w:rFonts w:ascii="仿宋_GB2312" w:eastAsia="仿宋_GB2312" w:hint="eastAsia"/>
          <w:sz w:val="30"/>
          <w:szCs w:val="30"/>
        </w:rPr>
        <w:t>、</w:t>
      </w:r>
      <w:r w:rsidRPr="009B009A">
        <w:rPr>
          <w:rFonts w:ascii="仿宋_GB2312" w:eastAsia="仿宋_GB2312" w:hint="eastAsia"/>
          <w:sz w:val="30"/>
          <w:szCs w:val="30"/>
        </w:rPr>
        <w:t>《公共管理硕士（MPA）专业学位联考考试大纲》（中国人民大学出版社）</w:t>
      </w:r>
      <w:r>
        <w:rPr>
          <w:rFonts w:ascii="仿宋_GB2312" w:eastAsia="仿宋_GB2312" w:hint="eastAsia"/>
          <w:sz w:val="30"/>
          <w:szCs w:val="30"/>
        </w:rPr>
        <w:t>。</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复试科目为政治理论和综合面试，由中国社会科学院研究生院MPA教育中心单独组织。复试具体安排在联考成绩公布后，预计在2015年12月或2016年1月。</w:t>
      </w:r>
      <w:r>
        <w:rPr>
          <w:rFonts w:ascii="仿宋_GB2312" w:eastAsia="仿宋_GB2312" w:hint="eastAsia"/>
          <w:sz w:val="30"/>
          <w:szCs w:val="30"/>
        </w:rPr>
        <w:t>复试时需携带本人身份证、学历证、学位证原件</w:t>
      </w:r>
      <w:r w:rsidRPr="00EA6BBB">
        <w:rPr>
          <w:rFonts w:ascii="仿宋_GB2312" w:eastAsia="仿宋_GB2312" w:hint="eastAsia"/>
          <w:sz w:val="30"/>
          <w:szCs w:val="30"/>
        </w:rPr>
        <w:t>以及单位盖章的报名资格审查表（网报时系统自动生成，请务必保存好）。</w:t>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五、录取与入学</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根据考生的初试和复试成绩按照择优录取的原则最终确定录取名单，2016年春季入学。</w:t>
      </w:r>
      <w:r w:rsidRPr="009B009A">
        <w:rPr>
          <w:rFonts w:ascii="仿宋_GB2312" w:eastAsia="仿宋_GB2312" w:hint="eastAsia"/>
          <w:sz w:val="30"/>
          <w:szCs w:val="30"/>
        </w:rPr>
        <w:tab/>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六、学习方式</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学习方式为在职学习，每年春季和秋季来京集中授课两次，每次25天左右。</w:t>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七、学费</w:t>
      </w:r>
    </w:p>
    <w:p w:rsidR="007F6093"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学费（含论文指导及答辩费）共计3.8</w:t>
      </w:r>
      <w:r>
        <w:rPr>
          <w:rFonts w:ascii="仿宋_GB2312" w:eastAsia="仿宋_GB2312" w:hint="eastAsia"/>
          <w:sz w:val="30"/>
          <w:szCs w:val="30"/>
        </w:rPr>
        <w:t>万元</w:t>
      </w:r>
      <w:r w:rsidRPr="009B009A">
        <w:rPr>
          <w:rFonts w:ascii="仿宋_GB2312" w:eastAsia="仿宋_GB2312" w:hint="eastAsia"/>
          <w:sz w:val="30"/>
          <w:szCs w:val="30"/>
        </w:rPr>
        <w:t>。</w:t>
      </w:r>
      <w:r>
        <w:rPr>
          <w:rFonts w:ascii="仿宋_GB2312" w:eastAsia="仿宋_GB2312" w:hint="eastAsia"/>
          <w:sz w:val="30"/>
          <w:szCs w:val="30"/>
        </w:rPr>
        <w:t>各单位可根据本地、本部门关于教育培训的规定给予报名学员经费支持。</w:t>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八、学习年限及学位授予</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正常学习年限为两年半，对由于工作等特殊原因不能按规定完成学业的，学习年限可延长至四年；在规定时间内修满学分、</w:t>
      </w:r>
      <w:r w:rsidRPr="009B009A">
        <w:rPr>
          <w:rFonts w:ascii="仿宋_GB2312" w:eastAsia="仿宋_GB2312" w:hint="eastAsia"/>
          <w:sz w:val="30"/>
          <w:szCs w:val="30"/>
        </w:rPr>
        <w:lastRenderedPageBreak/>
        <w:t>论文答辩通过即授予公共管理硕士（MPA）学位证书，证书由国务院学位委员会办公室统一印制。</w:t>
      </w:r>
    </w:p>
    <w:p w:rsidR="007F6093" w:rsidRPr="00C5080C" w:rsidRDefault="007F6093" w:rsidP="007F6093">
      <w:pPr>
        <w:ind w:firstLineChars="200" w:firstLine="600"/>
        <w:rPr>
          <w:rFonts w:ascii="黑体" w:eastAsia="黑体" w:hAnsi="黑体"/>
          <w:sz w:val="30"/>
          <w:szCs w:val="30"/>
        </w:rPr>
      </w:pPr>
      <w:r w:rsidRPr="00C5080C">
        <w:rPr>
          <w:rFonts w:ascii="黑体" w:eastAsia="黑体" w:hAnsi="黑体" w:hint="eastAsia"/>
          <w:sz w:val="30"/>
          <w:szCs w:val="30"/>
        </w:rPr>
        <w:t>九、咨询方式</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 xml:space="preserve">中国地方志指导小组办公室人事处 </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联 系 人：陈  旭  李俊池</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联系电话：010-65257613（兼传真）、65261941（兼传真）</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地    址：北京市朝阳区</w:t>
      </w:r>
      <w:proofErr w:type="gramStart"/>
      <w:r w:rsidRPr="009B009A">
        <w:rPr>
          <w:rFonts w:ascii="仿宋_GB2312" w:eastAsia="仿宋_GB2312" w:hint="eastAsia"/>
          <w:sz w:val="30"/>
          <w:szCs w:val="30"/>
        </w:rPr>
        <w:t>潘</w:t>
      </w:r>
      <w:proofErr w:type="gramEnd"/>
      <w:r w:rsidRPr="009B009A">
        <w:rPr>
          <w:rFonts w:ascii="仿宋_GB2312" w:eastAsia="仿宋_GB2312" w:hint="eastAsia"/>
          <w:sz w:val="30"/>
          <w:szCs w:val="30"/>
        </w:rPr>
        <w:t>家园东里9号国家方志馆</w:t>
      </w:r>
    </w:p>
    <w:p w:rsidR="007F6093" w:rsidRPr="009B009A" w:rsidRDefault="007F6093" w:rsidP="007F6093">
      <w:pPr>
        <w:ind w:firstLineChars="200" w:firstLine="600"/>
        <w:rPr>
          <w:rFonts w:ascii="仿宋_GB2312" w:eastAsia="仿宋_GB2312"/>
          <w:sz w:val="30"/>
          <w:szCs w:val="30"/>
        </w:rPr>
      </w:pPr>
      <w:proofErr w:type="gramStart"/>
      <w:r w:rsidRPr="009B009A">
        <w:rPr>
          <w:rFonts w:ascii="仿宋_GB2312" w:eastAsia="仿宋_GB2312" w:hint="eastAsia"/>
          <w:sz w:val="30"/>
          <w:szCs w:val="30"/>
        </w:rPr>
        <w:t>邮</w:t>
      </w:r>
      <w:proofErr w:type="gramEnd"/>
      <w:r w:rsidRPr="009B009A">
        <w:rPr>
          <w:rFonts w:ascii="仿宋_GB2312" w:eastAsia="仿宋_GB2312" w:hint="eastAsia"/>
          <w:sz w:val="30"/>
          <w:szCs w:val="30"/>
        </w:rPr>
        <w:t xml:space="preserve">    编：</w:t>
      </w:r>
      <w:r>
        <w:rPr>
          <w:rFonts w:ascii="仿宋_GB2312" w:eastAsia="仿宋_GB2312" w:hint="eastAsia"/>
          <w:sz w:val="30"/>
          <w:szCs w:val="30"/>
        </w:rPr>
        <w:t>100021</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中国社会科学院研究生院MPA教育中心</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 xml:space="preserve">联 系 人：白玲玲 </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联系电话：010</w:t>
      </w:r>
      <w:r>
        <w:rPr>
          <w:rFonts w:ascii="仿宋_GB2312" w:eastAsia="仿宋_GB2312" w:hint="eastAsia"/>
          <w:sz w:val="30"/>
          <w:szCs w:val="30"/>
        </w:rPr>
        <w:t>-</w:t>
      </w:r>
      <w:r w:rsidRPr="009B009A">
        <w:rPr>
          <w:rFonts w:ascii="仿宋_GB2312" w:eastAsia="仿宋_GB2312" w:hint="eastAsia"/>
          <w:sz w:val="30"/>
          <w:szCs w:val="30"/>
        </w:rPr>
        <w:t>64720837</w:t>
      </w:r>
      <w:r>
        <w:rPr>
          <w:rFonts w:ascii="仿宋_GB2312" w:eastAsia="仿宋_GB2312" w:hint="eastAsia"/>
          <w:sz w:val="30"/>
          <w:szCs w:val="30"/>
        </w:rPr>
        <w:t>、</w:t>
      </w:r>
      <w:r w:rsidRPr="009B009A">
        <w:rPr>
          <w:rFonts w:ascii="仿宋_GB2312" w:eastAsia="仿宋_GB2312" w:hint="eastAsia"/>
          <w:sz w:val="30"/>
          <w:szCs w:val="30"/>
        </w:rPr>
        <w:t>64720837（传真）</w:t>
      </w:r>
    </w:p>
    <w:p w:rsidR="007F6093" w:rsidRPr="009B009A" w:rsidRDefault="007F6093" w:rsidP="007F6093">
      <w:pPr>
        <w:ind w:firstLineChars="200" w:firstLine="600"/>
        <w:rPr>
          <w:rFonts w:ascii="仿宋_GB2312" w:eastAsia="仿宋_GB2312"/>
          <w:sz w:val="30"/>
          <w:szCs w:val="30"/>
        </w:rPr>
      </w:pPr>
      <w:r w:rsidRPr="009B009A">
        <w:rPr>
          <w:rFonts w:ascii="仿宋_GB2312" w:eastAsia="仿宋_GB2312" w:hint="eastAsia"/>
          <w:sz w:val="30"/>
          <w:szCs w:val="30"/>
        </w:rPr>
        <w:t xml:space="preserve">地  </w:t>
      </w:r>
      <w:r>
        <w:rPr>
          <w:rFonts w:ascii="仿宋_GB2312" w:eastAsia="仿宋_GB2312" w:hint="eastAsia"/>
          <w:sz w:val="30"/>
          <w:szCs w:val="30"/>
        </w:rPr>
        <w:t xml:space="preserve">  </w:t>
      </w:r>
      <w:r w:rsidRPr="009B009A">
        <w:rPr>
          <w:rFonts w:ascii="仿宋_GB2312" w:eastAsia="仿宋_GB2312" w:hint="eastAsia"/>
          <w:sz w:val="30"/>
          <w:szCs w:val="30"/>
        </w:rPr>
        <w:t>址：北京市</w:t>
      </w:r>
      <w:proofErr w:type="gramStart"/>
      <w:r w:rsidRPr="009B009A">
        <w:rPr>
          <w:rFonts w:ascii="仿宋_GB2312" w:eastAsia="仿宋_GB2312" w:hint="eastAsia"/>
          <w:sz w:val="30"/>
          <w:szCs w:val="30"/>
        </w:rPr>
        <w:t>朝阳区望京</w:t>
      </w:r>
      <w:proofErr w:type="gramEnd"/>
      <w:r w:rsidRPr="009B009A">
        <w:rPr>
          <w:rFonts w:ascii="仿宋_GB2312" w:eastAsia="仿宋_GB2312" w:hint="eastAsia"/>
          <w:sz w:val="30"/>
          <w:szCs w:val="30"/>
        </w:rPr>
        <w:t xml:space="preserve">中环南路一号 </w:t>
      </w:r>
    </w:p>
    <w:p w:rsidR="007F6093" w:rsidRPr="009B009A" w:rsidRDefault="007F6093" w:rsidP="007F6093">
      <w:pPr>
        <w:ind w:firstLineChars="200" w:firstLine="600"/>
        <w:rPr>
          <w:rFonts w:ascii="仿宋_GB2312" w:eastAsia="仿宋_GB2312"/>
          <w:sz w:val="30"/>
          <w:szCs w:val="30"/>
        </w:rPr>
      </w:pPr>
      <w:proofErr w:type="gramStart"/>
      <w:r w:rsidRPr="009B009A">
        <w:rPr>
          <w:rFonts w:ascii="仿宋_GB2312" w:eastAsia="仿宋_GB2312" w:hint="eastAsia"/>
          <w:sz w:val="30"/>
          <w:szCs w:val="30"/>
        </w:rPr>
        <w:t>邮</w:t>
      </w:r>
      <w:proofErr w:type="gramEnd"/>
      <w:r>
        <w:rPr>
          <w:rFonts w:ascii="仿宋_GB2312" w:eastAsia="仿宋_GB2312" w:hint="eastAsia"/>
          <w:sz w:val="30"/>
          <w:szCs w:val="30"/>
        </w:rPr>
        <w:t xml:space="preserve">    </w:t>
      </w:r>
      <w:r w:rsidRPr="009B009A">
        <w:rPr>
          <w:rFonts w:ascii="仿宋_GB2312" w:eastAsia="仿宋_GB2312" w:hint="eastAsia"/>
          <w:sz w:val="30"/>
          <w:szCs w:val="30"/>
        </w:rPr>
        <w:t>编：100102</w:t>
      </w:r>
    </w:p>
    <w:p w:rsidR="007F6093" w:rsidRDefault="007F6093" w:rsidP="007F6093">
      <w:pPr>
        <w:wordWrap w:val="0"/>
        <w:ind w:firstLineChars="200" w:firstLine="600"/>
        <w:rPr>
          <w:rFonts w:ascii="仿宋_GB2312" w:eastAsia="仿宋_GB2312"/>
          <w:sz w:val="30"/>
          <w:szCs w:val="30"/>
        </w:rPr>
      </w:pPr>
      <w:r w:rsidRPr="009B009A">
        <w:rPr>
          <w:rFonts w:ascii="仿宋_GB2312" w:eastAsia="仿宋_GB2312" w:hint="eastAsia"/>
          <w:sz w:val="30"/>
          <w:szCs w:val="30"/>
        </w:rPr>
        <w:t>查询网站：</w:t>
      </w:r>
      <w:r>
        <w:rPr>
          <w:rFonts w:ascii="仿宋_GB2312" w:eastAsia="仿宋_GB2312" w:hint="eastAsia"/>
          <w:sz w:val="30"/>
          <w:szCs w:val="30"/>
        </w:rPr>
        <w:t>中国社会科学院研究生院</w:t>
      </w:r>
      <w:r w:rsidRPr="009B009A">
        <w:rPr>
          <w:rFonts w:ascii="仿宋_GB2312" w:eastAsia="仿宋_GB2312" w:hint="eastAsia"/>
          <w:sz w:val="30"/>
          <w:szCs w:val="30"/>
        </w:rPr>
        <w:t xml:space="preserve">MPA教育网  </w:t>
      </w:r>
      <w:hyperlink r:id="rId5" w:history="1">
        <w:r w:rsidRPr="009B009A">
          <w:rPr>
            <w:rStyle w:val="a3"/>
            <w:rFonts w:ascii="仿宋_GB2312" w:eastAsia="仿宋_GB2312" w:hint="eastAsia"/>
            <w:sz w:val="30"/>
            <w:szCs w:val="30"/>
          </w:rPr>
          <w:t>www.cassmpa.cn</w:t>
        </w:r>
      </w:hyperlink>
    </w:p>
    <w:p w:rsidR="007F6093" w:rsidRDefault="007F6093" w:rsidP="007F6093">
      <w:pPr>
        <w:ind w:firstLineChars="200" w:firstLine="600"/>
        <w:rPr>
          <w:rFonts w:ascii="仿宋_GB2312" w:eastAsia="仿宋_GB2312"/>
          <w:sz w:val="30"/>
          <w:szCs w:val="30"/>
        </w:rPr>
      </w:pPr>
      <w:r>
        <w:rPr>
          <w:rFonts w:ascii="仿宋_GB2312" w:eastAsia="仿宋_GB2312" w:hint="eastAsia"/>
          <w:sz w:val="30"/>
          <w:szCs w:val="30"/>
        </w:rPr>
        <w:t>附件：</w:t>
      </w:r>
    </w:p>
    <w:p w:rsidR="007F6093" w:rsidRDefault="007F6093" w:rsidP="007F6093">
      <w:pPr>
        <w:ind w:firstLineChars="200" w:firstLine="600"/>
        <w:rPr>
          <w:rFonts w:ascii="仿宋_GB2312" w:eastAsia="仿宋_GB2312"/>
          <w:sz w:val="30"/>
          <w:szCs w:val="30"/>
        </w:rPr>
      </w:pPr>
      <w:r>
        <w:rPr>
          <w:rFonts w:ascii="仿宋_GB2312" w:eastAsia="仿宋_GB2312" w:hint="eastAsia"/>
          <w:sz w:val="30"/>
          <w:szCs w:val="30"/>
        </w:rPr>
        <w:t>《统一推荐名单及资格证明表》</w:t>
      </w:r>
    </w:p>
    <w:p w:rsidR="007F6093" w:rsidRDefault="007F6093" w:rsidP="007F6093">
      <w:pPr>
        <w:ind w:firstLineChars="200" w:firstLine="600"/>
        <w:rPr>
          <w:rFonts w:ascii="仿宋_GB2312" w:eastAsia="仿宋_GB2312"/>
          <w:sz w:val="30"/>
          <w:szCs w:val="30"/>
        </w:rPr>
      </w:pPr>
    </w:p>
    <w:p w:rsidR="007F6093" w:rsidRDefault="007F6093" w:rsidP="007F6093">
      <w:pPr>
        <w:ind w:firstLineChars="200" w:firstLine="600"/>
        <w:rPr>
          <w:rFonts w:ascii="仿宋_GB2312" w:eastAsia="仿宋_GB2312"/>
          <w:sz w:val="30"/>
          <w:szCs w:val="30"/>
        </w:rPr>
      </w:pPr>
    </w:p>
    <w:p w:rsidR="007F6093" w:rsidRPr="00EA3AC0" w:rsidRDefault="007F6093" w:rsidP="007F6093">
      <w:pPr>
        <w:ind w:firstLineChars="200" w:firstLine="600"/>
        <w:rPr>
          <w:rFonts w:ascii="仿宋_GB2312" w:eastAsia="仿宋_GB2312"/>
          <w:sz w:val="30"/>
          <w:szCs w:val="30"/>
        </w:rPr>
      </w:pPr>
    </w:p>
    <w:p w:rsidR="007F6093" w:rsidRPr="00C5080C" w:rsidRDefault="007F6093" w:rsidP="007F6093">
      <w:pPr>
        <w:tabs>
          <w:tab w:val="left" w:pos="720"/>
        </w:tabs>
        <w:ind w:firstLineChars="100" w:firstLine="300"/>
        <w:rPr>
          <w:rFonts w:ascii="仿宋_GB2312" w:eastAsia="仿宋_GB2312"/>
          <w:sz w:val="30"/>
          <w:szCs w:val="30"/>
        </w:rPr>
      </w:pPr>
      <w:r w:rsidRPr="00C5080C">
        <w:rPr>
          <w:rFonts w:ascii="仿宋_GB2312" w:eastAsia="仿宋_GB2312" w:hint="eastAsia"/>
          <w:sz w:val="30"/>
          <w:szCs w:val="30"/>
        </w:rPr>
        <w:t>中国地方志指导小组办公室      中国社会科学院研究生院</w:t>
      </w:r>
    </w:p>
    <w:p w:rsidR="007F6093" w:rsidRPr="00C5080C" w:rsidRDefault="007F6093" w:rsidP="007F6093">
      <w:pPr>
        <w:tabs>
          <w:tab w:val="left" w:pos="720"/>
        </w:tabs>
        <w:ind w:firstLineChars="1850" w:firstLine="5550"/>
        <w:rPr>
          <w:rFonts w:ascii="仿宋_GB2312" w:eastAsia="仿宋_GB2312"/>
          <w:sz w:val="30"/>
          <w:szCs w:val="30"/>
        </w:rPr>
      </w:pPr>
      <w:r w:rsidRPr="00C5080C">
        <w:rPr>
          <w:rFonts w:ascii="仿宋_GB2312" w:eastAsia="仿宋_GB2312" w:hint="eastAsia"/>
          <w:sz w:val="30"/>
          <w:szCs w:val="30"/>
        </w:rPr>
        <w:t>MPA教育中心</w:t>
      </w:r>
    </w:p>
    <w:p w:rsidR="007F6093" w:rsidRDefault="007F6093" w:rsidP="007F6093">
      <w:pPr>
        <w:tabs>
          <w:tab w:val="left" w:pos="720"/>
        </w:tabs>
        <w:ind w:firstLineChars="950" w:firstLine="2850"/>
        <w:rPr>
          <w:rFonts w:ascii="仿宋_GB2312" w:eastAsia="仿宋_GB2312"/>
          <w:sz w:val="30"/>
          <w:szCs w:val="30"/>
        </w:rPr>
      </w:pPr>
      <w:smartTag w:uri="urn:schemas-microsoft-com:office:smarttags" w:element="chsdate">
        <w:smartTagPr>
          <w:attr w:name="Year" w:val="2015"/>
          <w:attr w:name="Month" w:val="5"/>
          <w:attr w:name="Day" w:val="14"/>
          <w:attr w:name="IsLunarDate" w:val="False"/>
          <w:attr w:name="IsROCDate" w:val="False"/>
        </w:smartTagPr>
        <w:r w:rsidRPr="00C5080C">
          <w:rPr>
            <w:rFonts w:ascii="仿宋_GB2312" w:eastAsia="仿宋_GB2312" w:hint="eastAsia"/>
            <w:sz w:val="30"/>
            <w:szCs w:val="30"/>
          </w:rPr>
          <w:lastRenderedPageBreak/>
          <w:t>2015年5月</w:t>
        </w:r>
        <w:r>
          <w:rPr>
            <w:rFonts w:ascii="仿宋_GB2312" w:eastAsia="仿宋_GB2312" w:hint="eastAsia"/>
            <w:sz w:val="30"/>
            <w:szCs w:val="30"/>
          </w:rPr>
          <w:t>14</w:t>
        </w:r>
        <w:r w:rsidRPr="00C5080C">
          <w:rPr>
            <w:rFonts w:ascii="仿宋_GB2312" w:eastAsia="仿宋_GB2312" w:hint="eastAsia"/>
            <w:sz w:val="30"/>
            <w:szCs w:val="30"/>
          </w:rPr>
          <w:t>日</w:t>
        </w:r>
      </w:smartTag>
    </w:p>
    <w:p w:rsidR="007F6093" w:rsidRDefault="007F6093" w:rsidP="007F6093">
      <w:pPr>
        <w:tabs>
          <w:tab w:val="left" w:pos="720"/>
        </w:tabs>
        <w:rPr>
          <w:rFonts w:ascii="仿宋_GB2312" w:eastAsia="仿宋_GB2312"/>
          <w:sz w:val="30"/>
          <w:szCs w:val="30"/>
        </w:rPr>
      </w:pPr>
      <w:r>
        <w:rPr>
          <w:rFonts w:ascii="仿宋_GB2312" w:eastAsia="仿宋_GB2312"/>
          <w:sz w:val="30"/>
          <w:szCs w:val="30"/>
        </w:rPr>
        <w:br w:type="page"/>
      </w:r>
      <w:r>
        <w:rPr>
          <w:rFonts w:ascii="仿宋_GB2312" w:eastAsia="仿宋_GB2312" w:hint="eastAsia"/>
          <w:sz w:val="30"/>
          <w:szCs w:val="30"/>
        </w:rPr>
        <w:lastRenderedPageBreak/>
        <w:t>附件：</w:t>
      </w:r>
    </w:p>
    <w:p w:rsidR="007F6093" w:rsidRPr="004B03F7" w:rsidRDefault="007F6093" w:rsidP="007F6093">
      <w:pPr>
        <w:jc w:val="center"/>
        <w:rPr>
          <w:rFonts w:ascii="方正小标宋_GBK" w:eastAsia="方正小标宋_GBK"/>
          <w:sz w:val="36"/>
          <w:szCs w:val="36"/>
        </w:rPr>
      </w:pPr>
      <w:r w:rsidRPr="004B03F7">
        <w:rPr>
          <w:rFonts w:ascii="方正小标宋_GBK" w:eastAsia="方正小标宋_GBK" w:hint="eastAsia"/>
          <w:sz w:val="36"/>
          <w:szCs w:val="36"/>
        </w:rPr>
        <w:t>统一推荐名单及资格证明表</w:t>
      </w:r>
    </w:p>
    <w:p w:rsidR="007F6093" w:rsidRPr="00F47FD0" w:rsidRDefault="007F6093" w:rsidP="007F6093">
      <w:pPr>
        <w:jc w:val="center"/>
        <w:rPr>
          <w:rFonts w:ascii="方正小标宋简体" w:eastAsia="方正小标宋简体"/>
          <w:sz w:val="36"/>
          <w:szCs w:val="36"/>
        </w:rPr>
      </w:pPr>
    </w:p>
    <w:p w:rsidR="007F6093" w:rsidRPr="00B6737D" w:rsidRDefault="007F6093" w:rsidP="007F6093">
      <w:pPr>
        <w:spacing w:line="360" w:lineRule="auto"/>
        <w:ind w:left="1050" w:rightChars="-441" w:right="-926" w:hangingChars="350" w:hanging="1050"/>
        <w:rPr>
          <w:rFonts w:ascii="仿宋_GB2312" w:eastAsia="仿宋_GB2312" w:hAnsi="宋体"/>
          <w:sz w:val="30"/>
          <w:szCs w:val="30"/>
        </w:rPr>
      </w:pPr>
      <w:r w:rsidRPr="00B6737D">
        <w:rPr>
          <w:rFonts w:ascii="仿宋_GB2312" w:eastAsia="仿宋_GB2312" w:hAnsi="宋体" w:hint="eastAsia"/>
          <w:sz w:val="30"/>
          <w:szCs w:val="30"/>
        </w:rPr>
        <w:t>中国地方志指导小组办公室、中国社会科学院</w:t>
      </w:r>
      <w:r>
        <w:rPr>
          <w:rFonts w:ascii="仿宋_GB2312" w:eastAsia="仿宋_GB2312" w:hAnsi="宋体" w:hint="eastAsia"/>
          <w:sz w:val="30"/>
          <w:szCs w:val="30"/>
        </w:rPr>
        <w:t>研究生院</w:t>
      </w:r>
      <w:r w:rsidRPr="00B6737D">
        <w:rPr>
          <w:rFonts w:ascii="仿宋_GB2312" w:eastAsia="仿宋_GB2312" w:hAnsi="宋体" w:hint="eastAsia"/>
          <w:sz w:val="30"/>
          <w:szCs w:val="30"/>
        </w:rPr>
        <w:t>：</w:t>
      </w:r>
    </w:p>
    <w:p w:rsidR="007F6093" w:rsidRDefault="007F6093" w:rsidP="007F6093">
      <w:pPr>
        <w:spacing w:line="360" w:lineRule="auto"/>
        <w:ind w:rightChars="-441" w:right="-926" w:firstLineChars="200" w:firstLine="600"/>
        <w:rPr>
          <w:rFonts w:ascii="仿宋_GB2312" w:eastAsia="仿宋_GB2312" w:hAnsi="宋体"/>
          <w:sz w:val="30"/>
          <w:szCs w:val="30"/>
        </w:rPr>
      </w:pPr>
      <w:r w:rsidRPr="00B6737D">
        <w:rPr>
          <w:rFonts w:ascii="仿宋_GB2312" w:eastAsia="仿宋_GB2312" w:hAnsi="宋体" w:hint="eastAsia"/>
          <w:sz w:val="30"/>
          <w:szCs w:val="30"/>
        </w:rPr>
        <w:t>根据《</w:t>
      </w:r>
      <w:r w:rsidRPr="00B6737D">
        <w:rPr>
          <w:rFonts w:ascii="仿宋_GB2312" w:eastAsia="仿宋_GB2312" w:hAnsi="宋体" w:cs="宋体" w:hint="eastAsia"/>
          <w:color w:val="000000"/>
          <w:kern w:val="0"/>
          <w:sz w:val="30"/>
          <w:szCs w:val="30"/>
        </w:rPr>
        <w:t>关于招收中国社会科学院研究生院2015级在职公共管理硕士（MPA）的通知</w:t>
      </w:r>
      <w:r w:rsidRPr="00B6737D">
        <w:rPr>
          <w:rFonts w:ascii="仿宋_GB2312" w:eastAsia="仿宋_GB2312" w:hAnsi="宋体" w:hint="eastAsia"/>
          <w:sz w:val="30"/>
          <w:szCs w:val="30"/>
        </w:rPr>
        <w:t>》要求，确定下列同志为推荐的报考人选，请</w:t>
      </w:r>
      <w:proofErr w:type="gramStart"/>
      <w:r w:rsidRPr="00B6737D">
        <w:rPr>
          <w:rFonts w:ascii="仿宋_GB2312" w:eastAsia="仿宋_GB2312" w:hAnsi="宋体" w:hint="eastAsia"/>
          <w:sz w:val="30"/>
          <w:szCs w:val="30"/>
        </w:rPr>
        <w:t>予审</w:t>
      </w:r>
      <w:proofErr w:type="gramEnd"/>
      <w:r w:rsidRPr="00B6737D">
        <w:rPr>
          <w:rFonts w:ascii="仿宋_GB2312" w:eastAsia="仿宋_GB2312" w:hAnsi="宋体" w:hint="eastAsia"/>
          <w:sz w:val="30"/>
          <w:szCs w:val="30"/>
        </w:rPr>
        <w:t>查。</w:t>
      </w:r>
    </w:p>
    <w:p w:rsidR="007F6093" w:rsidRPr="00B6737D" w:rsidRDefault="007F6093" w:rsidP="007F6093">
      <w:pPr>
        <w:spacing w:line="360" w:lineRule="auto"/>
        <w:ind w:rightChars="-441" w:right="-926" w:firstLineChars="200" w:firstLine="600"/>
        <w:rPr>
          <w:rFonts w:ascii="仿宋_GB2312" w:eastAsia="仿宋_GB2312" w:hAnsi="宋体"/>
          <w:sz w:val="30"/>
          <w:szCs w:val="30"/>
        </w:rPr>
      </w:pPr>
    </w:p>
    <w:tbl>
      <w:tblPr>
        <w:tblW w:w="9806" w:type="dxa"/>
        <w:jc w:val="center"/>
        <w:tblLayout w:type="fixed"/>
        <w:tblLook w:val="0000" w:firstRow="0" w:lastRow="0" w:firstColumn="0" w:lastColumn="0" w:noHBand="0" w:noVBand="0"/>
      </w:tblPr>
      <w:tblGrid>
        <w:gridCol w:w="1260"/>
        <w:gridCol w:w="2880"/>
        <w:gridCol w:w="1080"/>
        <w:gridCol w:w="1980"/>
        <w:gridCol w:w="2606"/>
      </w:tblGrid>
      <w:tr w:rsidR="007F6093" w:rsidRPr="00EE6ED1" w:rsidTr="0003797F">
        <w:trPr>
          <w:trHeight w:val="600"/>
          <w:jc w:val="center"/>
        </w:trPr>
        <w:tc>
          <w:tcPr>
            <w:tcW w:w="1260" w:type="dxa"/>
            <w:tcBorders>
              <w:top w:val="single" w:sz="8" w:space="0" w:color="auto"/>
              <w:left w:val="single" w:sz="8" w:space="0" w:color="auto"/>
              <w:bottom w:val="single" w:sz="8" w:space="0" w:color="auto"/>
              <w:right w:val="single" w:sz="8" w:space="0" w:color="auto"/>
            </w:tcBorders>
            <w:vAlign w:val="center"/>
          </w:tcPr>
          <w:p w:rsidR="007F6093" w:rsidRPr="00EE6ED1" w:rsidRDefault="007F6093" w:rsidP="0003797F">
            <w:pPr>
              <w:jc w:val="center"/>
              <w:rPr>
                <w:b/>
                <w:sz w:val="28"/>
                <w:szCs w:val="28"/>
              </w:rPr>
            </w:pPr>
            <w:r w:rsidRPr="00EE6ED1">
              <w:rPr>
                <w:rFonts w:hint="eastAsia"/>
                <w:b/>
                <w:sz w:val="28"/>
                <w:szCs w:val="28"/>
              </w:rPr>
              <w:t>姓</w:t>
            </w:r>
            <w:r w:rsidRPr="00EE6ED1">
              <w:rPr>
                <w:rFonts w:hint="eastAsia"/>
                <w:b/>
                <w:sz w:val="28"/>
                <w:szCs w:val="28"/>
              </w:rPr>
              <w:t xml:space="preserve"> </w:t>
            </w:r>
            <w:r w:rsidRPr="00EE6ED1">
              <w:rPr>
                <w:rFonts w:hint="eastAsia"/>
                <w:b/>
                <w:sz w:val="28"/>
                <w:szCs w:val="28"/>
              </w:rPr>
              <w:t>名</w:t>
            </w:r>
          </w:p>
        </w:tc>
        <w:tc>
          <w:tcPr>
            <w:tcW w:w="2880" w:type="dxa"/>
            <w:tcBorders>
              <w:top w:val="single" w:sz="8" w:space="0" w:color="auto"/>
              <w:left w:val="nil"/>
              <w:bottom w:val="single" w:sz="8" w:space="0" w:color="auto"/>
              <w:right w:val="single" w:sz="8" w:space="0" w:color="auto"/>
            </w:tcBorders>
            <w:vAlign w:val="center"/>
          </w:tcPr>
          <w:p w:rsidR="007F6093" w:rsidRPr="00EE6ED1" w:rsidRDefault="007F6093" w:rsidP="0003797F">
            <w:pPr>
              <w:jc w:val="center"/>
              <w:rPr>
                <w:b/>
                <w:sz w:val="28"/>
                <w:szCs w:val="28"/>
              </w:rPr>
            </w:pPr>
            <w:r w:rsidRPr="00EE6ED1">
              <w:rPr>
                <w:rFonts w:hint="eastAsia"/>
                <w:b/>
                <w:sz w:val="28"/>
                <w:szCs w:val="28"/>
              </w:rPr>
              <w:t>部门及职务</w:t>
            </w:r>
          </w:p>
        </w:tc>
        <w:tc>
          <w:tcPr>
            <w:tcW w:w="1080" w:type="dxa"/>
            <w:tcBorders>
              <w:top w:val="single" w:sz="8" w:space="0" w:color="auto"/>
              <w:left w:val="nil"/>
              <w:bottom w:val="single" w:sz="8" w:space="0" w:color="auto"/>
              <w:right w:val="single" w:sz="8" w:space="0" w:color="auto"/>
            </w:tcBorders>
            <w:vAlign w:val="center"/>
          </w:tcPr>
          <w:p w:rsidR="007F6093" w:rsidRPr="00EE6ED1" w:rsidRDefault="007F6093" w:rsidP="0003797F">
            <w:pPr>
              <w:jc w:val="center"/>
              <w:rPr>
                <w:b/>
                <w:sz w:val="28"/>
                <w:szCs w:val="28"/>
              </w:rPr>
            </w:pPr>
            <w:r w:rsidRPr="00EE6ED1">
              <w:rPr>
                <w:rFonts w:hint="eastAsia"/>
                <w:b/>
                <w:sz w:val="28"/>
                <w:szCs w:val="28"/>
              </w:rPr>
              <w:t>级</w:t>
            </w:r>
            <w:r w:rsidRPr="00EE6ED1">
              <w:rPr>
                <w:rFonts w:hint="eastAsia"/>
                <w:b/>
                <w:sz w:val="28"/>
                <w:szCs w:val="28"/>
              </w:rPr>
              <w:t xml:space="preserve"> </w:t>
            </w:r>
            <w:r w:rsidRPr="00EE6ED1">
              <w:rPr>
                <w:rFonts w:hint="eastAsia"/>
                <w:b/>
                <w:sz w:val="28"/>
                <w:szCs w:val="28"/>
              </w:rPr>
              <w:t>别</w:t>
            </w:r>
          </w:p>
        </w:tc>
        <w:tc>
          <w:tcPr>
            <w:tcW w:w="1980" w:type="dxa"/>
            <w:tcBorders>
              <w:top w:val="single" w:sz="8" w:space="0" w:color="auto"/>
              <w:left w:val="nil"/>
              <w:bottom w:val="single" w:sz="8" w:space="0" w:color="auto"/>
              <w:right w:val="single" w:sz="8" w:space="0" w:color="auto"/>
            </w:tcBorders>
            <w:vAlign w:val="center"/>
          </w:tcPr>
          <w:p w:rsidR="007F6093" w:rsidRPr="00EE6ED1" w:rsidRDefault="007F6093" w:rsidP="0003797F">
            <w:pPr>
              <w:jc w:val="center"/>
              <w:rPr>
                <w:b/>
                <w:sz w:val="28"/>
                <w:szCs w:val="28"/>
              </w:rPr>
            </w:pPr>
            <w:r w:rsidRPr="00EE6ED1">
              <w:rPr>
                <w:rFonts w:hint="eastAsia"/>
                <w:b/>
                <w:sz w:val="28"/>
                <w:szCs w:val="28"/>
              </w:rPr>
              <w:t>手机号码</w:t>
            </w:r>
          </w:p>
        </w:tc>
        <w:tc>
          <w:tcPr>
            <w:tcW w:w="2606" w:type="dxa"/>
            <w:tcBorders>
              <w:top w:val="single" w:sz="8" w:space="0" w:color="auto"/>
              <w:left w:val="nil"/>
              <w:bottom w:val="single" w:sz="8" w:space="0" w:color="auto"/>
              <w:right w:val="single" w:sz="8" w:space="0" w:color="auto"/>
            </w:tcBorders>
            <w:vAlign w:val="center"/>
          </w:tcPr>
          <w:p w:rsidR="007F6093" w:rsidRPr="00EE6ED1" w:rsidRDefault="007F6093" w:rsidP="0003797F">
            <w:pPr>
              <w:jc w:val="center"/>
              <w:rPr>
                <w:b/>
                <w:sz w:val="28"/>
                <w:szCs w:val="28"/>
              </w:rPr>
            </w:pPr>
            <w:r w:rsidRPr="00EE6ED1">
              <w:rPr>
                <w:rFonts w:hint="eastAsia"/>
                <w:b/>
                <w:sz w:val="28"/>
                <w:szCs w:val="28"/>
              </w:rPr>
              <w:t>E-mail</w:t>
            </w:r>
          </w:p>
        </w:tc>
      </w:tr>
      <w:tr w:rsidR="007F6093" w:rsidRPr="00B6737D" w:rsidTr="0003797F">
        <w:trPr>
          <w:trHeight w:val="788"/>
          <w:jc w:val="center"/>
        </w:trPr>
        <w:tc>
          <w:tcPr>
            <w:tcW w:w="1260" w:type="dxa"/>
            <w:tcBorders>
              <w:top w:val="nil"/>
              <w:left w:val="single" w:sz="8" w:space="0" w:color="auto"/>
              <w:bottom w:val="single" w:sz="8" w:space="0" w:color="auto"/>
              <w:right w:val="single" w:sz="8" w:space="0" w:color="auto"/>
            </w:tcBorders>
            <w:vAlign w:val="center"/>
          </w:tcPr>
          <w:p w:rsidR="007F6093" w:rsidRPr="00B6737D" w:rsidRDefault="007F6093" w:rsidP="0003797F">
            <w:pPr>
              <w:jc w:val="center"/>
              <w:rPr>
                <w:sz w:val="28"/>
                <w:szCs w:val="28"/>
              </w:rPr>
            </w:pPr>
          </w:p>
        </w:tc>
        <w:tc>
          <w:tcPr>
            <w:tcW w:w="28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0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9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2606"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r>
      <w:tr w:rsidR="007F6093" w:rsidRPr="00B6737D" w:rsidTr="0003797F">
        <w:trPr>
          <w:trHeight w:val="788"/>
          <w:jc w:val="center"/>
        </w:trPr>
        <w:tc>
          <w:tcPr>
            <w:tcW w:w="1260" w:type="dxa"/>
            <w:tcBorders>
              <w:top w:val="nil"/>
              <w:left w:val="single" w:sz="8" w:space="0" w:color="auto"/>
              <w:bottom w:val="single" w:sz="8" w:space="0" w:color="auto"/>
              <w:right w:val="single" w:sz="8" w:space="0" w:color="auto"/>
            </w:tcBorders>
            <w:vAlign w:val="center"/>
          </w:tcPr>
          <w:p w:rsidR="007F6093" w:rsidRPr="00B6737D" w:rsidRDefault="007F6093" w:rsidP="0003797F">
            <w:pPr>
              <w:jc w:val="center"/>
              <w:rPr>
                <w:sz w:val="28"/>
                <w:szCs w:val="28"/>
              </w:rPr>
            </w:pPr>
          </w:p>
        </w:tc>
        <w:tc>
          <w:tcPr>
            <w:tcW w:w="28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0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9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2606"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r>
      <w:tr w:rsidR="007F6093" w:rsidRPr="00B6737D" w:rsidTr="0003797F">
        <w:trPr>
          <w:trHeight w:val="788"/>
          <w:jc w:val="center"/>
        </w:trPr>
        <w:tc>
          <w:tcPr>
            <w:tcW w:w="1260" w:type="dxa"/>
            <w:tcBorders>
              <w:top w:val="nil"/>
              <w:left w:val="single" w:sz="8" w:space="0" w:color="auto"/>
              <w:bottom w:val="single" w:sz="8" w:space="0" w:color="auto"/>
              <w:right w:val="single" w:sz="8" w:space="0" w:color="auto"/>
            </w:tcBorders>
            <w:vAlign w:val="center"/>
          </w:tcPr>
          <w:p w:rsidR="007F6093" w:rsidRPr="00B6737D" w:rsidRDefault="007F6093" w:rsidP="0003797F">
            <w:pPr>
              <w:jc w:val="center"/>
              <w:rPr>
                <w:sz w:val="28"/>
                <w:szCs w:val="28"/>
              </w:rPr>
            </w:pPr>
          </w:p>
        </w:tc>
        <w:tc>
          <w:tcPr>
            <w:tcW w:w="28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0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9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2606"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r>
      <w:tr w:rsidR="007F6093" w:rsidRPr="00B6737D" w:rsidTr="0003797F">
        <w:trPr>
          <w:trHeight w:val="788"/>
          <w:jc w:val="center"/>
        </w:trPr>
        <w:tc>
          <w:tcPr>
            <w:tcW w:w="1260" w:type="dxa"/>
            <w:tcBorders>
              <w:top w:val="nil"/>
              <w:left w:val="single" w:sz="8" w:space="0" w:color="auto"/>
              <w:bottom w:val="single" w:sz="8" w:space="0" w:color="auto"/>
              <w:right w:val="single" w:sz="8" w:space="0" w:color="auto"/>
            </w:tcBorders>
            <w:vAlign w:val="center"/>
          </w:tcPr>
          <w:p w:rsidR="007F6093" w:rsidRPr="00B6737D" w:rsidRDefault="007F6093" w:rsidP="0003797F">
            <w:pPr>
              <w:jc w:val="center"/>
              <w:rPr>
                <w:sz w:val="28"/>
                <w:szCs w:val="28"/>
              </w:rPr>
            </w:pPr>
          </w:p>
        </w:tc>
        <w:tc>
          <w:tcPr>
            <w:tcW w:w="28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0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9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2606"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r>
      <w:tr w:rsidR="007F6093" w:rsidRPr="00B6737D" w:rsidTr="0003797F">
        <w:trPr>
          <w:trHeight w:val="788"/>
          <w:jc w:val="center"/>
        </w:trPr>
        <w:tc>
          <w:tcPr>
            <w:tcW w:w="1260" w:type="dxa"/>
            <w:tcBorders>
              <w:top w:val="nil"/>
              <w:left w:val="single" w:sz="8" w:space="0" w:color="auto"/>
              <w:bottom w:val="single" w:sz="8" w:space="0" w:color="auto"/>
              <w:right w:val="single" w:sz="8" w:space="0" w:color="auto"/>
            </w:tcBorders>
            <w:vAlign w:val="center"/>
          </w:tcPr>
          <w:p w:rsidR="007F6093" w:rsidRPr="00B6737D" w:rsidRDefault="007F6093" w:rsidP="0003797F">
            <w:pPr>
              <w:jc w:val="center"/>
              <w:rPr>
                <w:sz w:val="28"/>
                <w:szCs w:val="28"/>
              </w:rPr>
            </w:pPr>
          </w:p>
        </w:tc>
        <w:tc>
          <w:tcPr>
            <w:tcW w:w="28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0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1980"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c>
          <w:tcPr>
            <w:tcW w:w="2606" w:type="dxa"/>
            <w:tcBorders>
              <w:top w:val="nil"/>
              <w:left w:val="nil"/>
              <w:bottom w:val="single" w:sz="8" w:space="0" w:color="auto"/>
              <w:right w:val="single" w:sz="8" w:space="0" w:color="auto"/>
            </w:tcBorders>
            <w:vAlign w:val="center"/>
          </w:tcPr>
          <w:p w:rsidR="007F6093" w:rsidRPr="00B6737D" w:rsidRDefault="007F6093" w:rsidP="0003797F">
            <w:pPr>
              <w:jc w:val="center"/>
              <w:rPr>
                <w:sz w:val="28"/>
                <w:szCs w:val="28"/>
              </w:rPr>
            </w:pPr>
          </w:p>
        </w:tc>
      </w:tr>
    </w:tbl>
    <w:p w:rsidR="007F6093" w:rsidRDefault="007F6093" w:rsidP="007F6093">
      <w:pPr>
        <w:tabs>
          <w:tab w:val="left" w:pos="720"/>
        </w:tabs>
        <w:ind w:firstLineChars="950" w:firstLine="2850"/>
        <w:rPr>
          <w:rFonts w:ascii="仿宋_GB2312" w:eastAsia="仿宋_GB2312"/>
          <w:sz w:val="30"/>
          <w:szCs w:val="30"/>
        </w:rPr>
      </w:pPr>
    </w:p>
    <w:p w:rsidR="007F6093" w:rsidRDefault="007F6093" w:rsidP="007F6093">
      <w:pPr>
        <w:tabs>
          <w:tab w:val="left" w:pos="720"/>
        </w:tabs>
        <w:ind w:firstLineChars="950" w:firstLine="2850"/>
        <w:rPr>
          <w:rFonts w:ascii="仿宋_GB2312" w:eastAsia="仿宋_GB2312"/>
          <w:sz w:val="30"/>
          <w:szCs w:val="30"/>
        </w:rPr>
      </w:pPr>
    </w:p>
    <w:p w:rsidR="00CF2B03" w:rsidRDefault="007F6093" w:rsidP="007F6093">
      <w:r w:rsidRPr="00973312">
        <w:rPr>
          <w:rFonts w:ascii="仿宋_GB2312" w:eastAsia="仿宋_GB2312" w:hint="eastAsia"/>
          <w:b/>
          <w:sz w:val="30"/>
          <w:szCs w:val="30"/>
        </w:rPr>
        <w:t>部门公章 ：            联系人：</w:t>
      </w:r>
      <w:r>
        <w:rPr>
          <w:rFonts w:ascii="仿宋_GB2312" w:eastAsia="仿宋_GB2312" w:hint="eastAsia"/>
          <w:b/>
          <w:sz w:val="30"/>
          <w:szCs w:val="30"/>
        </w:rPr>
        <w:t xml:space="preserve">          联系</w:t>
      </w:r>
      <w:r w:rsidRPr="00973312">
        <w:rPr>
          <w:rFonts w:ascii="仿宋_GB2312" w:eastAsia="仿宋_GB2312" w:hint="eastAsia"/>
          <w:b/>
          <w:sz w:val="30"/>
          <w:szCs w:val="30"/>
        </w:rPr>
        <w:t>电话：</w:t>
      </w:r>
      <w:bookmarkStart w:id="0" w:name="_GoBack"/>
      <w:bookmarkEnd w:id="0"/>
    </w:p>
    <w:sectPr w:rsidR="00CF2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懐訪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93"/>
    <w:rsid w:val="007F6093"/>
    <w:rsid w:val="00CF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0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ssmpa.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cp:revision>
  <dcterms:created xsi:type="dcterms:W3CDTF">2015-05-19T08:05:00Z</dcterms:created>
  <dcterms:modified xsi:type="dcterms:W3CDTF">2015-05-19T08:05:00Z</dcterms:modified>
</cp:coreProperties>
</file>